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70" w:lineRule="exact"/>
        <w:ind w:firstLine="1041" w:firstLineChars="200"/>
        <w:jc w:val="center"/>
        <w:rPr>
          <w:rFonts w:ascii="华文中宋" w:hAnsi="华文中宋" w:eastAsia="华文中宋" w:cs="华文中宋"/>
          <w:b/>
          <w:bCs/>
          <w:kern w:val="0"/>
          <w:sz w:val="52"/>
          <w:szCs w:val="52"/>
        </w:rPr>
      </w:pPr>
    </w:p>
    <w:p>
      <w:pPr>
        <w:pStyle w:val="48"/>
        <w:spacing w:line="570" w:lineRule="exact"/>
        <w:ind w:firstLine="1041" w:firstLineChars="200"/>
        <w:jc w:val="center"/>
        <w:rPr>
          <w:rFonts w:ascii="华文中宋" w:hAnsi="华文中宋" w:eastAsia="华文中宋" w:cs="华文中宋"/>
          <w:b/>
          <w:bCs/>
          <w:kern w:val="0"/>
          <w:sz w:val="52"/>
          <w:szCs w:val="52"/>
        </w:rPr>
      </w:pPr>
    </w:p>
    <w:p>
      <w:pPr>
        <w:pStyle w:val="48"/>
        <w:spacing w:line="570" w:lineRule="exact"/>
        <w:ind w:firstLine="1041" w:firstLineChars="200"/>
        <w:rPr>
          <w:rFonts w:ascii="华文中宋" w:hAnsi="华文中宋" w:eastAsia="华文中宋" w:cs="华文中宋"/>
          <w:b/>
          <w:bCs/>
          <w:kern w:val="0"/>
          <w:sz w:val="52"/>
          <w:szCs w:val="52"/>
        </w:rPr>
      </w:pPr>
    </w:p>
    <w:p>
      <w:pPr>
        <w:pStyle w:val="48"/>
        <w:spacing w:line="570" w:lineRule="exact"/>
        <w:ind w:firstLine="1041" w:firstLineChars="200"/>
        <w:jc w:val="center"/>
        <w:rPr>
          <w:rFonts w:ascii="华文中宋" w:hAnsi="华文中宋" w:eastAsia="华文中宋" w:cs="华文中宋"/>
          <w:b/>
          <w:bCs/>
          <w:kern w:val="0"/>
          <w:sz w:val="52"/>
          <w:szCs w:val="52"/>
        </w:rPr>
      </w:pPr>
    </w:p>
    <w:p>
      <w:pPr>
        <w:pStyle w:val="48"/>
        <w:spacing w:line="570" w:lineRule="exact"/>
        <w:ind w:firstLine="1041" w:firstLineChars="200"/>
        <w:jc w:val="center"/>
        <w:rPr>
          <w:rFonts w:ascii="华文中宋" w:hAnsi="华文中宋" w:eastAsia="华文中宋" w:cs="华文中宋"/>
          <w:b/>
          <w:bCs/>
          <w:kern w:val="0"/>
          <w:sz w:val="52"/>
          <w:szCs w:val="52"/>
        </w:rPr>
      </w:pPr>
    </w:p>
    <w:p>
      <w:pPr>
        <w:pStyle w:val="48"/>
        <w:spacing w:line="570" w:lineRule="exact"/>
        <w:ind w:firstLine="721" w:firstLineChars="200"/>
        <w:jc w:val="center"/>
        <w:rPr>
          <w:rFonts w:ascii="方正黑体_GBK" w:hAnsi="华文中宋" w:eastAsia="方正黑体_GBK" w:cs="华文中宋"/>
          <w:b/>
          <w:bCs/>
          <w:kern w:val="0"/>
          <w:sz w:val="36"/>
          <w:szCs w:val="36"/>
        </w:rPr>
      </w:pPr>
    </w:p>
    <w:p>
      <w:pPr>
        <w:pStyle w:val="48"/>
        <w:spacing w:line="570" w:lineRule="exact"/>
        <w:ind w:firstLine="721" w:firstLineChars="200"/>
        <w:jc w:val="center"/>
        <w:rPr>
          <w:rFonts w:ascii="方正黑体_GBK" w:hAnsi="华文中宋" w:eastAsia="方正黑体_GBK" w:cs="华文中宋"/>
          <w:b/>
          <w:bCs/>
          <w:kern w:val="0"/>
          <w:sz w:val="36"/>
          <w:szCs w:val="36"/>
          <w:lang w:val="zh-TW" w:eastAsia="zh-TW"/>
        </w:rPr>
      </w:pPr>
      <w:r>
        <w:rPr>
          <w:rFonts w:hint="eastAsia" w:ascii="方正黑体_GBK" w:hAnsi="华文中宋" w:eastAsia="方正黑体_GBK" w:cs="华文中宋"/>
          <w:b/>
          <w:bCs/>
          <w:kern w:val="0"/>
          <w:sz w:val="36"/>
          <w:szCs w:val="36"/>
          <w:lang w:val="zh-TW" w:eastAsia="zh-TW"/>
        </w:rPr>
        <w:t>新疆财政支出绩效自评报告</w:t>
      </w:r>
    </w:p>
    <w:p>
      <w:pPr>
        <w:adjustRightInd w:val="0"/>
        <w:snapToGrid w:val="0"/>
        <w:spacing w:line="570" w:lineRule="exact"/>
        <w:ind w:firstLine="1041" w:firstLineChars="200"/>
        <w:rPr>
          <w:rFonts w:ascii="华文中宋" w:hAnsi="华文中宋" w:eastAsia="华文中宋" w:cs="华文中宋"/>
          <w:b/>
          <w:bCs/>
          <w:kern w:val="0"/>
          <w:sz w:val="52"/>
          <w:szCs w:val="52"/>
        </w:rPr>
      </w:pPr>
    </w:p>
    <w:p>
      <w:pPr>
        <w:pStyle w:val="48"/>
        <w:spacing w:line="570" w:lineRule="exact"/>
        <w:ind w:firstLine="720" w:firstLineChars="200"/>
        <w:jc w:val="center"/>
        <w:rPr>
          <w:kern w:val="0"/>
          <w:sz w:val="36"/>
          <w:szCs w:val="36"/>
          <w:lang w:val="zh-TW" w:eastAsia="zh-TW"/>
        </w:rPr>
      </w:pPr>
      <w:r>
        <w:rPr>
          <w:rFonts w:ascii="仿宋_GB2312" w:hAnsi="仿宋_GB2312" w:eastAsia="仿宋_GB2312" w:cs="仿宋_GB2312"/>
          <w:kern w:val="0"/>
          <w:sz w:val="36"/>
          <w:szCs w:val="36"/>
          <w:lang w:val="zh-TW" w:eastAsia="zh-TW"/>
        </w:rPr>
        <w:t>（201</w:t>
      </w:r>
      <w:r>
        <w:rPr>
          <w:rFonts w:hint="eastAsia" w:ascii="仿宋_GB2312" w:hAnsi="仿宋_GB2312" w:eastAsia="仿宋_GB2312" w:cs="仿宋_GB2312"/>
          <w:kern w:val="0"/>
          <w:sz w:val="36"/>
          <w:szCs w:val="36"/>
          <w:lang w:val="zh-TW"/>
        </w:rPr>
        <w:t>8</w:t>
      </w:r>
      <w:r>
        <w:rPr>
          <w:rFonts w:ascii="仿宋_GB2312" w:hAnsi="仿宋_GB2312" w:eastAsia="仿宋_GB2312" w:cs="仿宋_GB2312"/>
          <w:kern w:val="0"/>
          <w:sz w:val="36"/>
          <w:szCs w:val="36"/>
          <w:lang w:val="zh-TW" w:eastAsia="zh-TW"/>
        </w:rPr>
        <w:t>年度）</w:t>
      </w: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rPr>
          <w:kern w:val="0"/>
          <w:sz w:val="30"/>
          <w:szCs w:val="30"/>
        </w:rPr>
      </w:pPr>
    </w:p>
    <w:p>
      <w:pPr>
        <w:pStyle w:val="48"/>
        <w:spacing w:line="570" w:lineRule="exact"/>
        <w:ind w:firstLine="600" w:firstLineChars="200"/>
        <w:rPr>
          <w:kern w:val="0"/>
          <w:sz w:val="30"/>
          <w:szCs w:val="30"/>
        </w:rPr>
      </w:pPr>
    </w:p>
    <w:p>
      <w:pPr>
        <w:pStyle w:val="48"/>
        <w:spacing w:line="570" w:lineRule="exact"/>
        <w:ind w:firstLine="720" w:firstLineChars="200"/>
        <w:jc w:val="left"/>
        <w:rPr>
          <w:rFonts w:ascii="仿宋_GB2312" w:hAnsi="仿宋_GB2312" w:eastAsia="仿宋_GB2312" w:cs="仿宋_GB2312"/>
          <w:kern w:val="0"/>
          <w:sz w:val="56"/>
          <w:szCs w:val="56"/>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rPr>
        <w:t>:</w:t>
      </w:r>
      <w:r>
        <w:rPr>
          <w:rFonts w:hint="eastAsia" w:eastAsia="仿宋_GB2312"/>
          <w:sz w:val="36"/>
          <w:szCs w:val="36"/>
        </w:rPr>
        <w:t>林果业提质增效项目项目</w:t>
      </w:r>
    </w:p>
    <w:p>
      <w:pPr>
        <w:pStyle w:val="48"/>
        <w:spacing w:line="570" w:lineRule="exact"/>
        <w:ind w:firstLine="720" w:firstLineChars="200"/>
        <w:jc w:val="left"/>
        <w:rPr>
          <w:rFonts w:eastAsia="仿宋_GB2312"/>
          <w:kern w:val="0"/>
          <w:sz w:val="36"/>
          <w:szCs w:val="36"/>
        </w:rPr>
      </w:pP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rPr>
        <w:t>苏盖提乡人民政府</w:t>
      </w:r>
    </w:p>
    <w:p>
      <w:pPr>
        <w:pStyle w:val="48"/>
        <w:spacing w:line="570" w:lineRule="exact"/>
        <w:ind w:firstLine="720" w:firstLineChars="200"/>
        <w:jc w:val="left"/>
        <w:rPr>
          <w:kern w:val="0"/>
          <w:sz w:val="36"/>
          <w:szCs w:val="36"/>
          <w:lang w:val="zh-TW" w:eastAsia="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rPr>
        <w:t>苏盖提乡人民政府</w:t>
      </w:r>
    </w:p>
    <w:p>
      <w:pPr>
        <w:pStyle w:val="48"/>
        <w:spacing w:line="570" w:lineRule="exact"/>
        <w:ind w:firstLine="720" w:firstLineChars="200"/>
        <w:jc w:val="left"/>
        <w:rPr>
          <w:rFonts w:eastAsia="仿宋_GB2312"/>
          <w:kern w:val="0"/>
          <w:sz w:val="36"/>
          <w:szCs w:val="36"/>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rPr>
        <w:t>王金勇</w:t>
      </w:r>
    </w:p>
    <w:p>
      <w:pPr>
        <w:pStyle w:val="48"/>
        <w:spacing w:line="57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lang w:val="zh-TW"/>
        </w:rPr>
        <w:t>9</w:t>
      </w:r>
      <w:r>
        <w:rPr>
          <w:rFonts w:ascii="仿宋_GB2312" w:hAnsi="仿宋_GB2312" w:eastAsia="仿宋_GB2312" w:cs="仿宋_GB2312"/>
          <w:kern w:val="0"/>
          <w:sz w:val="36"/>
          <w:szCs w:val="36"/>
          <w:lang w:val="zh-TW" w:eastAsia="zh-TW"/>
        </w:rPr>
        <w:t>年</w:t>
      </w:r>
      <w:r>
        <w:rPr>
          <w:rFonts w:hint="eastAsia" w:ascii="仿宋_GB2312" w:hAnsi="仿宋_GB2312" w:eastAsia="仿宋_GB2312" w:cs="仿宋_GB2312"/>
          <w:kern w:val="0"/>
          <w:sz w:val="36"/>
          <w:szCs w:val="36"/>
          <w:lang w:val="zh-TW"/>
        </w:rPr>
        <w:t>8</w:t>
      </w:r>
      <w:r>
        <w:rPr>
          <w:rFonts w:ascii="仿宋_GB2312" w:hAnsi="仿宋_GB2312" w:eastAsia="仿宋_GB2312" w:cs="仿宋_GB2312"/>
          <w:kern w:val="0"/>
          <w:sz w:val="36"/>
          <w:szCs w:val="36"/>
          <w:lang w:val="zh-TW" w:eastAsia="zh-TW"/>
        </w:rPr>
        <w:t>月</w:t>
      </w:r>
      <w:r>
        <w:rPr>
          <w:rFonts w:hint="eastAsia" w:ascii="仿宋_GB2312" w:hAnsi="仿宋_GB2312" w:eastAsia="仿宋_GB2312" w:cs="仿宋_GB2312"/>
          <w:kern w:val="0"/>
          <w:sz w:val="36"/>
          <w:szCs w:val="36"/>
        </w:rPr>
        <w:t>22</w:t>
      </w:r>
      <w:r>
        <w:rPr>
          <w:rFonts w:ascii="仿宋_GB2312" w:hAnsi="仿宋_GB2312" w:eastAsia="仿宋_GB2312" w:cs="仿宋_GB2312"/>
          <w:kern w:val="0"/>
          <w:sz w:val="36"/>
          <w:szCs w:val="36"/>
          <w:lang w:val="zh-TW" w:eastAsia="zh-TW"/>
        </w:rPr>
        <w:t>日</w:t>
      </w:r>
    </w:p>
    <w:p>
      <w:pPr>
        <w:pStyle w:val="48"/>
        <w:spacing w:line="570" w:lineRule="exact"/>
        <w:ind w:firstLine="624" w:firstLineChars="200"/>
        <w:jc w:val="left"/>
        <w:rPr>
          <w:rStyle w:val="18"/>
          <w:rFonts w:ascii="黑体" w:hAnsi="黑体" w:eastAsia="黑体"/>
          <w:b w:val="0"/>
          <w:spacing w:val="-4"/>
          <w:sz w:val="32"/>
          <w:szCs w:val="32"/>
        </w:rPr>
      </w:pPr>
    </w:p>
    <w:p>
      <w:pPr>
        <w:adjustRightInd w:val="0"/>
        <w:snapToGrid w:val="0"/>
        <w:spacing w:line="560" w:lineRule="exact"/>
        <w:ind w:firstLine="723" w:firstLineChars="200"/>
        <w:jc w:val="center"/>
        <w:rPr>
          <w:rFonts w:ascii="黑体" w:hAnsi="黑体" w:eastAsia="黑体" w:cs="宋体"/>
          <w:b/>
          <w:kern w:val="0"/>
          <w:sz w:val="36"/>
          <w:szCs w:val="36"/>
        </w:rPr>
      </w:pPr>
    </w:p>
    <w:p>
      <w:pPr>
        <w:adjustRightInd w:val="0"/>
        <w:snapToGrid w:val="0"/>
        <w:spacing w:line="560" w:lineRule="exact"/>
        <w:ind w:firstLine="723" w:firstLineChars="200"/>
        <w:jc w:val="center"/>
        <w:rPr>
          <w:rStyle w:val="18"/>
          <w:rFonts w:ascii="黑体" w:hAnsi="黑体" w:eastAsia="黑体"/>
          <w:b w:val="0"/>
          <w:spacing w:val="-4"/>
          <w:sz w:val="32"/>
          <w:szCs w:val="32"/>
        </w:rPr>
      </w:pPr>
      <w:r>
        <w:rPr>
          <w:rFonts w:hint="eastAsia" w:ascii="黑体" w:hAnsi="黑体" w:eastAsia="黑体" w:cs="宋体"/>
          <w:b/>
          <w:kern w:val="0"/>
          <w:sz w:val="36"/>
          <w:szCs w:val="36"/>
        </w:rPr>
        <w:t>苏盖提乡林果业提质增效项目绩效自评报告</w:t>
      </w:r>
    </w:p>
    <w:p>
      <w:pPr>
        <w:pStyle w:val="48"/>
        <w:spacing w:line="700" w:lineRule="exact"/>
        <w:ind w:firstLine="624" w:firstLineChars="200"/>
        <w:jc w:val="left"/>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一、项目概况</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spacing w:line="560" w:lineRule="exact"/>
        <w:ind w:firstLine="600"/>
        <w:rPr>
          <w:rFonts w:ascii="仿宋_GB2312" w:hAnsi="宋体" w:eastAsia="仿宋_GB2312"/>
          <w:sz w:val="32"/>
          <w:szCs w:val="32"/>
        </w:rPr>
      </w:pPr>
      <w:r>
        <w:rPr>
          <w:rFonts w:hint="eastAsia" w:ascii="仿宋_GB2312" w:hAnsi="宋体" w:eastAsia="仿宋_GB2312"/>
          <w:sz w:val="32"/>
          <w:szCs w:val="32"/>
        </w:rPr>
        <w:t>苏盖提乡位于英吉沙县城南，乡政府驻地色日格拉村距县城23公里。</w:t>
      </w:r>
      <w:r>
        <w:rPr>
          <w:rFonts w:hint="eastAsia" w:ascii="仿宋_GB2312" w:eastAsia="仿宋_GB2312"/>
          <w:sz w:val="32"/>
          <w:szCs w:val="32"/>
        </w:rPr>
        <w:t>苏盖提乡辖14个行政村、76个村民小组，目前我乡总人口27319人，其中从事农业生产人员26599人，30年承包地29079亩，人均耕地占有量不足1.5亩,</w:t>
      </w:r>
      <w:r>
        <w:rPr>
          <w:rFonts w:hint="eastAsia" w:ascii="仿宋_GB2312" w:hAnsi="仿宋_GB2312" w:eastAsia="仿宋_GB2312"/>
          <w:bCs/>
          <w:sz w:val="32"/>
          <w:szCs w:val="32"/>
        </w:rPr>
        <w:t>全乡主要以粮为主，农作物小麦、玉米等。</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县财政为苏盖提乡拨付林果业提质增效项目，通过为贫困户购买杏子采摘布兜、杏子晾晒架，增加贫困户采摘杏子工作效率，增加杏子产量，改进杏子采摘工作质量，提高鲜杏完整度，方便杏子采摘、保鲜、晾晒，减轻贫困户生产成本和工作负担，从而增加贫困户收入。</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w:t>
      </w:r>
      <w:r>
        <w:rPr>
          <w:rStyle w:val="18"/>
          <w:rFonts w:hint="eastAsia" w:ascii="仿宋" w:hAnsi="仿宋" w:eastAsia="仿宋"/>
          <w:b w:val="0"/>
          <w:spacing w:val="-4"/>
          <w:sz w:val="32"/>
          <w:szCs w:val="32"/>
        </w:rPr>
        <w:t>项目</w:t>
      </w:r>
      <w:r>
        <w:rPr>
          <w:rFonts w:hint="eastAsia" w:ascii="仿宋" w:hAnsi="仿宋" w:eastAsia="仿宋"/>
          <w:bCs/>
          <w:spacing w:val="-4"/>
          <w:sz w:val="32"/>
          <w:szCs w:val="32"/>
        </w:rPr>
        <w:t>性质为长期项目。</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英吉沙县苏盖提乡林果业提质增效项目为乡政府扶贫项目，通过为贫困户购买杏子采摘布兜、杏子晾晒架，增加贫困户采摘杏子工作效率，增加杏子产量，改进杏子采摘工作质量，提高鲜杏完整度，方便杏子采摘、保鲜、晾晒，减轻贫困户生产成本和工作负担，从而增加贫困户收入，受益范围为全乡3123户贫困户。</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英吉沙县苏盖提乡林果业提质增效项目项目预算安排总额为117万元，其中财政资金117万元，自筹资金0万元，2018年实际收到预算资金117万元。</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本项目已支付资金</w:t>
      </w:r>
      <w:r>
        <w:rPr>
          <w:rStyle w:val="18"/>
          <w:rFonts w:hint="eastAsia" w:ascii="仿宋" w:hAnsi="仿宋" w:eastAsia="仿宋"/>
          <w:b w:val="0"/>
          <w:spacing w:val="-4"/>
          <w:sz w:val="32"/>
          <w:szCs w:val="32"/>
        </w:rPr>
        <w:t>117万元</w:t>
      </w:r>
      <w:r>
        <w:rPr>
          <w:rFonts w:hint="eastAsia" w:ascii="仿宋" w:hAnsi="仿宋" w:eastAsia="仿宋"/>
          <w:bCs/>
          <w:spacing w:val="-4"/>
          <w:sz w:val="32"/>
          <w:szCs w:val="32"/>
        </w:rPr>
        <w:t>，结余资金为0万元。</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adjustRightInd w:val="0"/>
        <w:snapToGrid w:val="0"/>
        <w:spacing w:line="560" w:lineRule="exact"/>
        <w:ind w:firstLine="624" w:firstLineChars="200"/>
        <w:rPr>
          <w:rStyle w:val="18"/>
          <w:rFonts w:ascii="仿宋" w:hAnsi="仿宋" w:eastAsia="仿宋"/>
          <w:b w:val="0"/>
          <w:bCs w:val="0"/>
          <w:spacing w:val="-4"/>
          <w:sz w:val="32"/>
          <w:szCs w:val="32"/>
        </w:rPr>
      </w:pPr>
      <w:r>
        <w:rPr>
          <w:rFonts w:hint="eastAsia" w:ascii="仿宋" w:hAnsi="仿宋" w:eastAsia="仿宋"/>
          <w:bCs/>
          <w:spacing w:val="-4"/>
          <w:sz w:val="32"/>
          <w:szCs w:val="32"/>
        </w:rPr>
        <w:t>本项目支出符合英吉沙县财政局、英吉沙县苏盖提乡人民政府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该项目属于长期项目,由苏盖提乡人民政府主管项目。实施过程均按照本单位制定的管理制度执行。</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本项目不存在调整情况。</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为保证项目质量和成本控制，项目实施完成后，由本项目相关人员组织进行发放情况。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adjustRightInd w:val="0"/>
        <w:snapToGrid w:val="0"/>
        <w:spacing w:line="560" w:lineRule="exact"/>
        <w:ind w:firstLine="624" w:firstLineChars="200"/>
        <w:rPr>
          <w:rStyle w:val="18"/>
          <w:rFonts w:ascii="仿宋" w:hAnsi="仿宋" w:eastAsia="仿宋"/>
          <w:b w:val="0"/>
          <w:spacing w:val="-4"/>
          <w:sz w:val="32"/>
          <w:szCs w:val="32"/>
        </w:rPr>
      </w:pPr>
      <w:r>
        <w:rPr>
          <w:rFonts w:hint="eastAsia" w:ascii="仿宋" w:hAnsi="仿宋" w:eastAsia="仿宋"/>
          <w:bCs/>
          <w:spacing w:val="-4"/>
          <w:sz w:val="32"/>
          <w:szCs w:val="32"/>
        </w:rPr>
        <w:t>项目实施过程中，英吉沙县苏盖提乡人民政府制定了英吉沙县苏盖提乡林果业提质增效项目资金支出及资金核销管理办法，保障项目的顺利实施。项目的实施遵守相关法律法规和业务管理规定，项目资料齐全并及时归档。已建立相关日常检查监督检查机制，不定期对项目进度情况进行督导检查，对检查过程中发现的问题及时督促整改，确保了项目按时保质完成”。</w:t>
      </w:r>
    </w:p>
    <w:p>
      <w:pPr>
        <w:adjustRightInd w:val="0"/>
        <w:snapToGrid w:val="0"/>
        <w:spacing w:line="560" w:lineRule="exact"/>
        <w:ind w:firstLine="624" w:firstLineChars="200"/>
        <w:outlineLvl w:val="0"/>
        <w:rPr>
          <w:rStyle w:val="18"/>
          <w:rFonts w:ascii="黑体" w:hAnsi="黑体" w:eastAsia="黑体"/>
        </w:rPr>
      </w:pPr>
      <w:r>
        <w:rPr>
          <w:rStyle w:val="18"/>
          <w:rFonts w:hint="eastAsia" w:ascii="黑体" w:hAnsi="黑体" w:eastAsia="黑体"/>
          <w:b w:val="0"/>
          <w:spacing w:val="-4"/>
          <w:sz w:val="32"/>
          <w:szCs w:val="32"/>
        </w:rPr>
        <w:t>四、项目绩效情况</w:t>
      </w:r>
    </w:p>
    <w:p>
      <w:pPr>
        <w:adjustRightInd w:val="0"/>
        <w:snapToGrid w:val="0"/>
        <w:spacing w:line="560" w:lineRule="exact"/>
        <w:ind w:firstLine="627" w:firstLineChars="200"/>
        <w:outlineLvl w:val="0"/>
        <w:rPr>
          <w:rStyle w:val="18"/>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560" w:lineRule="exact"/>
        <w:ind w:firstLine="624" w:firstLineChars="200"/>
        <w:rPr>
          <w:rFonts w:ascii="仿宋" w:hAnsi="仿宋" w:eastAsia="仿宋"/>
          <w:bCs/>
          <w:spacing w:val="-4"/>
          <w:sz w:val="32"/>
          <w:szCs w:val="32"/>
        </w:rPr>
      </w:pPr>
      <w:r>
        <w:rPr>
          <w:rFonts w:ascii="仿宋" w:hAnsi="仿宋" w:eastAsia="仿宋"/>
          <w:bCs/>
          <w:spacing w:val="-4"/>
          <w:sz w:val="32"/>
          <w:szCs w:val="32"/>
        </w:rPr>
        <w:t>本项目共设置一级指标</w:t>
      </w:r>
      <w:r>
        <w:rPr>
          <w:rFonts w:hint="eastAsia" w:ascii="仿宋" w:hAnsi="仿宋" w:eastAsia="仿宋"/>
          <w:bCs/>
          <w:spacing w:val="-4"/>
          <w:sz w:val="32"/>
          <w:szCs w:val="32"/>
        </w:rPr>
        <w:t>3</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二级指标</w:t>
      </w:r>
      <w:r>
        <w:rPr>
          <w:rFonts w:hint="eastAsia" w:ascii="仿宋" w:hAnsi="仿宋" w:eastAsia="仿宋"/>
          <w:bCs/>
          <w:spacing w:val="-4"/>
          <w:sz w:val="32"/>
          <w:szCs w:val="32"/>
        </w:rPr>
        <w:t>9</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三级指标</w:t>
      </w:r>
      <w:r>
        <w:rPr>
          <w:rFonts w:hint="eastAsia" w:ascii="仿宋" w:hAnsi="仿宋" w:eastAsia="仿宋"/>
          <w:bCs/>
          <w:spacing w:val="-4"/>
          <w:sz w:val="32"/>
          <w:szCs w:val="32"/>
        </w:rPr>
        <w:t>12</w:t>
      </w:r>
      <w:r>
        <w:rPr>
          <w:rFonts w:ascii="仿宋" w:hAnsi="仿宋" w:eastAsia="仿宋"/>
          <w:bCs/>
          <w:spacing w:val="-4"/>
          <w:sz w:val="32"/>
          <w:szCs w:val="32"/>
        </w:rPr>
        <w:t>个</w:t>
      </w:r>
      <w:r>
        <w:rPr>
          <w:rFonts w:hint="eastAsia" w:ascii="仿宋" w:hAnsi="仿宋" w:eastAsia="仿宋"/>
          <w:bCs/>
          <w:spacing w:val="-4"/>
          <w:sz w:val="32"/>
          <w:szCs w:val="32"/>
        </w:rPr>
        <w:t>，目前该项目已完成。</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560" w:lineRule="exact"/>
        <w:ind w:firstLine="624" w:firstLineChars="200"/>
        <w:outlineLvl w:val="0"/>
        <w:rPr>
          <w:rFonts w:ascii="仿宋" w:hAnsi="仿宋" w:eastAsia="仿宋"/>
          <w:spacing w:val="-4"/>
          <w:sz w:val="32"/>
          <w:szCs w:val="32"/>
        </w:rPr>
      </w:pPr>
      <w:r>
        <w:rPr>
          <w:rFonts w:hint="eastAsia" w:ascii="仿宋" w:hAnsi="仿宋" w:eastAsia="仿宋"/>
          <w:spacing w:val="-4"/>
          <w:sz w:val="32"/>
          <w:szCs w:val="32"/>
        </w:rPr>
        <w:t>无</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adjustRightInd w:val="0"/>
        <w:snapToGrid w:val="0"/>
        <w:spacing w:line="560" w:lineRule="exact"/>
        <w:ind w:firstLine="624" w:firstLineChars="200"/>
        <w:outlineLvl w:val="0"/>
        <w:rPr>
          <w:rFonts w:ascii="仿宋" w:hAnsi="仿宋" w:eastAsia="仿宋"/>
          <w:bCs/>
          <w:spacing w:val="-4"/>
          <w:sz w:val="32"/>
          <w:szCs w:val="32"/>
        </w:rPr>
      </w:pPr>
      <w:r>
        <w:rPr>
          <w:rFonts w:hint="eastAsia" w:ascii="仿宋" w:hAnsi="仿宋" w:eastAsia="仿宋"/>
          <w:bCs/>
          <w:spacing w:val="-4"/>
          <w:sz w:val="32"/>
          <w:szCs w:val="32"/>
        </w:rPr>
        <w:t>根据项目现实施情况，计划下一年度继续申请林果业提质增效项目，以保证农民</w:t>
      </w:r>
      <w:bookmarkStart w:id="0" w:name="_GoBack"/>
      <w:bookmarkEnd w:id="0"/>
      <w:r>
        <w:rPr>
          <w:rFonts w:hint="eastAsia" w:ascii="仿宋" w:hAnsi="仿宋" w:eastAsia="仿宋"/>
          <w:bCs/>
          <w:spacing w:val="-4"/>
          <w:sz w:val="32"/>
          <w:szCs w:val="32"/>
          <w:lang w:eastAsia="zh-CN"/>
        </w:rPr>
        <w:t>稳步</w:t>
      </w:r>
      <w:r>
        <w:rPr>
          <w:rFonts w:hint="eastAsia" w:ascii="仿宋" w:hAnsi="仿宋" w:eastAsia="仿宋"/>
          <w:bCs/>
          <w:spacing w:val="-4"/>
          <w:sz w:val="32"/>
          <w:szCs w:val="32"/>
        </w:rPr>
        <w:t>增收，如期脱贫。</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1、主要经验及做法：</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由于项目存在较为严格的管理要求，乡党委高度重视并召开专题讨论会，及时制定相关管理办法。</w:t>
      </w:r>
    </w:p>
    <w:p>
      <w:pPr>
        <w:numPr>
          <w:ilvl w:val="0"/>
          <w:numId w:val="1"/>
        </w:num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存在的问题：</w:t>
      </w:r>
    </w:p>
    <w:p>
      <w:pPr>
        <w:adjustRightInd w:val="0"/>
        <w:snapToGrid w:val="0"/>
        <w:spacing w:line="560" w:lineRule="exact"/>
        <w:rPr>
          <w:rFonts w:ascii="仿宋" w:hAnsi="仿宋" w:eastAsia="仿宋"/>
          <w:bCs/>
          <w:spacing w:val="-4"/>
          <w:sz w:val="32"/>
          <w:szCs w:val="32"/>
        </w:rPr>
      </w:pPr>
      <w:r>
        <w:rPr>
          <w:rFonts w:hint="eastAsia" w:ascii="仿宋" w:hAnsi="仿宋" w:eastAsia="仿宋"/>
          <w:bCs/>
          <w:spacing w:val="-4"/>
          <w:sz w:val="32"/>
          <w:szCs w:val="32"/>
        </w:rPr>
        <w:t xml:space="preserve">    管理要求较高</w:t>
      </w:r>
    </w:p>
    <w:p>
      <w:pPr>
        <w:numPr>
          <w:ilvl w:val="0"/>
          <w:numId w:val="1"/>
        </w:num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建议：</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暂无。</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无其他说明内容。</w:t>
      </w:r>
    </w:p>
    <w:p>
      <w:pPr>
        <w:adjustRightInd w:val="0"/>
        <w:snapToGrid w:val="0"/>
        <w:spacing w:line="560" w:lineRule="exact"/>
        <w:ind w:firstLine="624" w:firstLineChars="200"/>
        <w:outlineLvl w:val="0"/>
        <w:rPr>
          <w:rFonts w:ascii="黑体" w:hAnsi="黑体" w:eastAsia="黑体"/>
          <w:bCs/>
          <w:spacing w:val="-4"/>
          <w:sz w:val="32"/>
          <w:szCs w:val="32"/>
        </w:rPr>
      </w:pPr>
      <w:r>
        <w:rPr>
          <w:rStyle w:val="18"/>
          <w:rFonts w:hint="eastAsia" w:ascii="黑体" w:hAnsi="黑体" w:eastAsia="黑体"/>
          <w:b w:val="0"/>
          <w:spacing w:val="-4"/>
          <w:sz w:val="32"/>
          <w:szCs w:val="32"/>
        </w:rPr>
        <w:t>六、项目评价工作情况</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次评价通过文件研读、实地调研、数据分析等方式，全面了解英吉沙县苏盖提乡林果业提质增效项目资金的使用方式和效果，项目管理过程是否规范，是否完成了预期绩效目标等。同时，通过开展自我评价来总结经验和教训，为我乡其他扶贫项目今后的开展提供参考建议。</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《项目支出绩效目标自评表》</w:t>
      </w:r>
    </w:p>
    <w:p>
      <w:pPr>
        <w:adjustRightInd w:val="0"/>
        <w:snapToGrid w:val="0"/>
        <w:spacing w:line="560" w:lineRule="exact"/>
        <w:ind w:firstLine="627" w:firstLineChars="200"/>
        <w:rPr>
          <w:rStyle w:val="18"/>
          <w:rFonts w:ascii="仿宋" w:hAnsi="仿宋" w:eastAsia="仿宋"/>
          <w:spacing w:val="-4"/>
          <w:sz w:val="32"/>
          <w:szCs w:val="32"/>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华文中宋">
    <w:altName w:val="hakuyoxingshu7000"/>
    <w:panose1 w:val="00000000000000000000"/>
    <w:charset w:val="86"/>
    <w:family w:val="auto"/>
    <w:pitch w:val="default"/>
    <w:sig w:usb0="00000000" w:usb1="00000000" w:usb2="00000010" w:usb3="00000000" w:csb0="0004009F" w:csb1="00000000"/>
  </w:font>
  <w:font w:name="方正黑体_GBK">
    <w:altName w:val="hakuyoxingshu7000"/>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hakuyoxingshu7000">
    <w:panose1 w:val="02000600000000000000"/>
    <w:charset w:val="86"/>
    <w:family w:val="auto"/>
    <w:pitch w:val="default"/>
    <w:sig w:usb0="FFFFFFFF" w:usb1="E9FFFFFF" w:usb2="0000003F" w:usb3="00000000" w:csb0="603F00FF" w:csb1="FFFF0000"/>
  </w:font>
  <w:font w:name="Arial">
    <w:panose1 w:val="020B0604020202020204"/>
    <w:charset w:val="00"/>
    <w:family w:val="roma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51990F2"/>
    <w:multiLevelType w:val="singleLevel"/>
    <w:tmpl w:val="E51990F2"/>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12208E"/>
    <w:rsid w:val="00135256"/>
    <w:rsid w:val="001A4E1F"/>
    <w:rsid w:val="001A57B9"/>
    <w:rsid w:val="001C3847"/>
    <w:rsid w:val="001F3031"/>
    <w:rsid w:val="00210A26"/>
    <w:rsid w:val="002A2532"/>
    <w:rsid w:val="002A2D76"/>
    <w:rsid w:val="0031024D"/>
    <w:rsid w:val="00365250"/>
    <w:rsid w:val="0036624C"/>
    <w:rsid w:val="00385849"/>
    <w:rsid w:val="003A1EEB"/>
    <w:rsid w:val="00405181"/>
    <w:rsid w:val="0050167F"/>
    <w:rsid w:val="00514506"/>
    <w:rsid w:val="005162F1"/>
    <w:rsid w:val="00516E80"/>
    <w:rsid w:val="00535153"/>
    <w:rsid w:val="00557276"/>
    <w:rsid w:val="00575CFE"/>
    <w:rsid w:val="00583AFC"/>
    <w:rsid w:val="00592D09"/>
    <w:rsid w:val="0061727F"/>
    <w:rsid w:val="00675D58"/>
    <w:rsid w:val="006F2E6D"/>
    <w:rsid w:val="007218B8"/>
    <w:rsid w:val="00755C6A"/>
    <w:rsid w:val="00785FDE"/>
    <w:rsid w:val="007A0351"/>
    <w:rsid w:val="007A14BC"/>
    <w:rsid w:val="007C0749"/>
    <w:rsid w:val="007C1025"/>
    <w:rsid w:val="007E6845"/>
    <w:rsid w:val="007F5F8A"/>
    <w:rsid w:val="00826CA1"/>
    <w:rsid w:val="00835B7F"/>
    <w:rsid w:val="00855E3A"/>
    <w:rsid w:val="00922CB9"/>
    <w:rsid w:val="009350F7"/>
    <w:rsid w:val="009B526F"/>
    <w:rsid w:val="009C1AFD"/>
    <w:rsid w:val="00A26421"/>
    <w:rsid w:val="00A4293B"/>
    <w:rsid w:val="00A83BD5"/>
    <w:rsid w:val="00A977DF"/>
    <w:rsid w:val="00AE6A23"/>
    <w:rsid w:val="00B06CA5"/>
    <w:rsid w:val="00B41F61"/>
    <w:rsid w:val="00B55332"/>
    <w:rsid w:val="00B86E8C"/>
    <w:rsid w:val="00BE1A00"/>
    <w:rsid w:val="00C221B1"/>
    <w:rsid w:val="00C22CF0"/>
    <w:rsid w:val="00C56C72"/>
    <w:rsid w:val="00CA6457"/>
    <w:rsid w:val="00CC6E4D"/>
    <w:rsid w:val="00D17F2E"/>
    <w:rsid w:val="00D46194"/>
    <w:rsid w:val="00E01293"/>
    <w:rsid w:val="00E027D1"/>
    <w:rsid w:val="00E769FE"/>
    <w:rsid w:val="00E918C5"/>
    <w:rsid w:val="00EA2CBE"/>
    <w:rsid w:val="00EA78B6"/>
    <w:rsid w:val="00F32FEE"/>
    <w:rsid w:val="00F53E69"/>
    <w:rsid w:val="067D29CF"/>
    <w:rsid w:val="09F141FA"/>
    <w:rsid w:val="186F052F"/>
    <w:rsid w:val="284177E2"/>
    <w:rsid w:val="2AE40F6B"/>
    <w:rsid w:val="373140DD"/>
    <w:rsid w:val="3B700F79"/>
    <w:rsid w:val="3BD00B57"/>
    <w:rsid w:val="3C244682"/>
    <w:rsid w:val="4482393A"/>
    <w:rsid w:val="462455B2"/>
    <w:rsid w:val="488E0CC2"/>
    <w:rsid w:val="4DAE4465"/>
    <w:rsid w:val="4DC432D2"/>
    <w:rsid w:val="52A22AB4"/>
    <w:rsid w:val="5B652028"/>
    <w:rsid w:val="64ED4BA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2"/>
    <w:qFormat/>
    <w:uiPriority w:val="9"/>
    <w:rPr>
      <w:rFonts w:asciiTheme="majorHAnsi" w:hAnsiTheme="majorHAnsi" w:eastAsiaTheme="majorEastAsia"/>
      <w:b/>
      <w:bCs/>
      <w:kern w:val="32"/>
      <w:sz w:val="32"/>
      <w:szCs w:val="32"/>
    </w:rPr>
  </w:style>
  <w:style w:type="character" w:customStyle="1" w:styleId="22">
    <w:name w:val="标题 2 Char"/>
    <w:basedOn w:val="17"/>
    <w:link w:val="3"/>
    <w:semiHidden/>
    <w:qFormat/>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7"/>
    <w:qFormat/>
    <w:uiPriority w:val="21"/>
    <w:rPr>
      <w:b/>
      <w:i/>
      <w:sz w:val="24"/>
      <w:szCs w:val="24"/>
      <w:u w:val="single"/>
    </w:rPr>
  </w:style>
  <w:style w:type="character" w:customStyle="1" w:styleId="40">
    <w:name w:val="不明显参考1"/>
    <w:basedOn w:val="17"/>
    <w:qFormat/>
    <w:uiPriority w:val="31"/>
    <w:rPr>
      <w:sz w:val="24"/>
      <w:szCs w:val="24"/>
      <w:u w:val="single"/>
    </w:rPr>
  </w:style>
  <w:style w:type="character" w:customStyle="1" w:styleId="41">
    <w:name w:val="明显参考1"/>
    <w:basedOn w:val="17"/>
    <w:qFormat/>
    <w:uiPriority w:val="32"/>
    <w:rPr>
      <w:b/>
      <w:sz w:val="24"/>
      <w:u w:val="single"/>
    </w:rPr>
  </w:style>
  <w:style w:type="character" w:customStyle="1" w:styleId="42">
    <w:name w:val="书籍标题1"/>
    <w:basedOn w:val="17"/>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Char"/>
    <w:basedOn w:val="17"/>
    <w:link w:val="14"/>
    <w:qFormat/>
    <w:uiPriority w:val="99"/>
    <w:rPr>
      <w:rFonts w:ascii="Calibri" w:hAnsi="Calibri" w:eastAsia="宋体"/>
      <w:kern w:val="2"/>
      <w:sz w:val="18"/>
      <w:szCs w:val="18"/>
    </w:rPr>
  </w:style>
  <w:style w:type="character" w:customStyle="1" w:styleId="45">
    <w:name w:val="页脚 Char"/>
    <w:basedOn w:val="17"/>
    <w:link w:val="13"/>
    <w:qFormat/>
    <w:uiPriority w:val="99"/>
    <w:rPr>
      <w:rFonts w:ascii="Calibri" w:hAnsi="Calibri" w:eastAsia="宋体"/>
      <w:kern w:val="2"/>
      <w:sz w:val="18"/>
      <w:szCs w:val="18"/>
    </w:rPr>
  </w:style>
  <w:style w:type="character" w:customStyle="1" w:styleId="46">
    <w:name w:val="文档结构图 Char"/>
    <w:basedOn w:val="17"/>
    <w:link w:val="11"/>
    <w:semiHidden/>
    <w:qFormat/>
    <w:uiPriority w:val="99"/>
    <w:rPr>
      <w:rFonts w:ascii="宋体" w:hAnsi="Times New Roman" w:eastAsia="宋体"/>
      <w:kern w:val="2"/>
      <w:sz w:val="18"/>
      <w:szCs w:val="18"/>
    </w:rPr>
  </w:style>
  <w:style w:type="character" w:customStyle="1" w:styleId="47">
    <w:name w:val="批注框文本 Char"/>
    <w:basedOn w:val="17"/>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0C7EAB6-3E24-4D0A-9A50-1F992E4D0C18}">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Pages>
  <Words>240</Words>
  <Characters>1370</Characters>
  <Lines>11</Lines>
  <Paragraphs>3</Paragraphs>
  <TotalTime>25</TotalTime>
  <ScaleCrop>false</ScaleCrop>
  <LinksUpToDate>false</LinksUpToDate>
  <CharactersWithSpaces>1607</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2019-09-16T11:40:42Z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